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0E" w:rsidRPr="006C430E" w:rsidRDefault="006C430E" w:rsidP="006C430E">
      <w:pPr>
        <w:pStyle w:val="berschrift3"/>
        <w:rPr>
          <w:sz w:val="28"/>
        </w:rPr>
      </w:pPr>
      <w:bookmarkStart w:id="0" w:name="_Toc501636785"/>
      <w:r w:rsidRPr="006C430E">
        <w:rPr>
          <w:sz w:val="28"/>
        </w:rPr>
        <w:t>Community Power Worldwide</w:t>
      </w:r>
      <w:bookmarkEnd w:id="0"/>
    </w:p>
    <w:p w:rsidR="006C430E" w:rsidRDefault="006C430E" w:rsidP="006C430E">
      <w:r w:rsidRPr="00056DF0">
        <w:t xml:space="preserve">The symposium‘s afternoon sessions </w:t>
      </w:r>
      <w:r>
        <w:t>widened the perspective on Community Power and Community Wind to the global scale. International experts from Australia, Belgium, Algeria, Cameroon, Canada, Denmark, Japan, Mali, Mexico, Chile, France, Morocco, and Zimbabwe discussed international developments, starting with the challenges as identified in the German case.</w:t>
      </w:r>
    </w:p>
    <w:p w:rsidR="006C430E" w:rsidRDefault="006C430E" w:rsidP="006C430E">
      <w:pPr>
        <w:rPr>
          <w:sz w:val="20"/>
        </w:rPr>
      </w:pPr>
      <w:bookmarkStart w:id="1" w:name="_GoBack"/>
      <w:bookmarkEnd w:id="1"/>
      <w:r>
        <w:t xml:space="preserve">Stephanie Weckend (IRENA) chaired the “world-trip” that comprised perspectives on the framework conditions, drivers and barriers for Community Power projects in </w:t>
      </w:r>
      <w:r>
        <w:rPr>
          <w:noProof/>
          <w:lang w:val="de-DE" w:eastAsia="de-DE"/>
        </w:rPr>
        <mc:AlternateContent>
          <mc:Choice Requires="wps">
            <w:drawing>
              <wp:anchor distT="0" distB="0" distL="114300" distR="114300" simplePos="0" relativeHeight="251660288" behindDoc="0" locked="0" layoutInCell="1" allowOverlap="1" wp14:anchorId="26FF8B58" wp14:editId="349169A3">
                <wp:simplePos x="0" y="0"/>
                <wp:positionH relativeFrom="column">
                  <wp:posOffset>3648710</wp:posOffset>
                </wp:positionH>
                <wp:positionV relativeFrom="paragraph">
                  <wp:posOffset>1433830</wp:posOffset>
                </wp:positionV>
                <wp:extent cx="2082800" cy="258445"/>
                <wp:effectExtent l="0" t="0" r="0" b="0"/>
                <wp:wrapTight wrapText="bothSides">
                  <wp:wrapPolygon edited="0">
                    <wp:start x="0" y="0"/>
                    <wp:lineTo x="0" y="21600"/>
                    <wp:lineTo x="21600" y="21600"/>
                    <wp:lineTo x="21600" y="0"/>
                  </wp:wrapPolygon>
                </wp:wrapTight>
                <wp:docPr id="11" name="Textfeld 11"/>
                <wp:cNvGraphicFramePr/>
                <a:graphic xmlns:a="http://schemas.openxmlformats.org/drawingml/2006/main">
                  <a:graphicData uri="http://schemas.microsoft.com/office/word/2010/wordprocessingShape">
                    <wps:wsp>
                      <wps:cNvSpPr txBox="1"/>
                      <wps:spPr>
                        <a:xfrm>
                          <a:off x="0" y="0"/>
                          <a:ext cx="2082800" cy="258445"/>
                        </a:xfrm>
                        <a:prstGeom prst="rect">
                          <a:avLst/>
                        </a:prstGeom>
                        <a:solidFill>
                          <a:prstClr val="white"/>
                        </a:solidFill>
                        <a:ln>
                          <a:noFill/>
                        </a:ln>
                        <a:effectLst/>
                      </wps:spPr>
                      <wps:txbx>
                        <w:txbxContent>
                          <w:p w:rsidR="006C430E" w:rsidRPr="00097E8C" w:rsidRDefault="006C430E" w:rsidP="006C430E">
                            <w:pPr>
                              <w:pStyle w:val="Beschriftung"/>
                              <w:ind w:firstLine="0"/>
                              <w:rPr>
                                <w:noProof/>
                                <w:sz w:val="24"/>
                              </w:rPr>
                            </w:pPr>
                            <w:r>
                              <w:t>Weckend (IRENA) and Rae (WWEA)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287.3pt;margin-top:112.9pt;width:164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MNAIAAHAEAAAOAAAAZHJzL2Uyb0RvYy54bWysVMFu2zAMvQ/YPwi6r3aDdgiCOEXWosOA&#10;oi3QFD0rslQbkEVNUmJ3X78n2W63bqdhF4Uin0nxPTLri6Ez7Kh8aMlW/PSk5ExZSXVrnyv+uLv+&#10;tOQsRGFrYciqir+owC82Hz+se7dSC2rI1MozJLFh1buKNzG6VVEE2ahOhBNyyiKoyXci4uqfi9qL&#10;Htk7UyzK8nPRk6+dJ6lCgPdqDPJNzq+1kvFO66AiMxXH22I+fT736Sw2a7F69sI1rZyeIf7hFZ1o&#10;LYq+proSUbCDb/9I1bXSUyAdTyR1BWndSpV7QDen5btuHhrhVO4F5AT3SlP4f2nl7fHes7aGdqec&#10;WdFBo50aolamZnCBn96FFWAPDsA4fKEB2Nkf4ExtD9p36RcNMcTB9Msru8jGJJyLcrlYlghJxBbn&#10;y7Oz85SmePva+RC/KupYMiruoV4mVRxvQhyhMyQVC2Ta+ro1Jl1S4NJ4dhRQum/aqKbkv6GMTVhL&#10;6asx4ehReVSmKqnhsbFkxWE/TCzsqX4BCZ7GMQpOXrcoeyNCvBcec4PmsAvxDoc21FecJouzhvyP&#10;v/kTHnIiylmPOax4+H4QXnFmvlkInYZ2Nvxs7GfDHrpLQsPQDq/JJj7w0cym9tQ9YUW2qQpCwkrU&#10;qniczcs4bgNWTKrtNoMwmk7EG/vgZEo907sbnoR3kzgRst7SPKFi9U6jEZtVcttDBOFZwEToyCKE&#10;TxeMdR6BaQXT3vx6z6i3P4rNTwAAAP//AwBQSwMEFAAGAAgAAAAhAI7mm7HhAAAACwEAAA8AAABk&#10;cnMvZG93bnJldi54bWxMjz1PwzAQhnck/oN1SCyIOoTEhRCnqioYYKkIXbq5iRsH4nNkO2349xwT&#10;jPfeo/ejXM12YCftQ+9Qwt0iAaaxcW2PnYTdx8vtA7AQFbZqcKglfOsAq+ryolRF6874rk917BiZ&#10;YCiUBBPjWHAeGqOtCgs3aqTf0XmrIp2+461XZzK3A0+TRHCreqQEo0a9Mbr5qicrYZvtt+ZmOj6/&#10;rbN7/7qbNuKzq6W8vprXT8CinuMfDL/1qTpU1OngJmwDGyTky0wQKiFNc9pAxGOSknIgRYgceFXy&#10;/xuqHwAAAP//AwBQSwECLQAUAAYACAAAACEAtoM4kv4AAADhAQAAEwAAAAAAAAAAAAAAAAAAAAAA&#10;W0NvbnRlbnRfVHlwZXNdLnhtbFBLAQItABQABgAIAAAAIQA4/SH/1gAAAJQBAAALAAAAAAAAAAAA&#10;AAAAAC8BAABfcmVscy8ucmVsc1BLAQItABQABgAIAAAAIQA+R1MMNAIAAHAEAAAOAAAAAAAAAAAA&#10;AAAAAC4CAABkcnMvZTJvRG9jLnhtbFBLAQItABQABgAIAAAAIQCO5pux4QAAAAsBAAAPAAAAAAAA&#10;AAAAAAAAAI4EAABkcnMvZG93bnJldi54bWxQSwUGAAAAAAQABADzAAAAnAUAAAAA&#10;" stroked="f">
                <v:textbox style="mso-fit-shape-to-text:t" inset="0,0,0,0">
                  <w:txbxContent>
                    <w:p w:rsidR="006C430E" w:rsidRPr="00097E8C" w:rsidRDefault="006C430E" w:rsidP="006C430E">
                      <w:pPr>
                        <w:pStyle w:val="Beschriftung"/>
                        <w:ind w:firstLine="0"/>
                        <w:rPr>
                          <w:noProof/>
                          <w:sz w:val="24"/>
                        </w:rPr>
                      </w:pPr>
                      <w:r>
                        <w:t>Weckend (IRENA) and Rae (WWEA)</w:t>
                      </w:r>
                    </w:p>
                  </w:txbxContent>
                </v:textbox>
                <w10:wrap type="tight"/>
              </v:shape>
            </w:pict>
          </mc:Fallback>
        </mc:AlternateContent>
      </w:r>
      <w:r>
        <w:rPr>
          <w:noProof/>
          <w:lang w:val="de-DE" w:eastAsia="de-DE"/>
        </w:rPr>
        <w:drawing>
          <wp:anchor distT="0" distB="0" distL="114300" distR="114300" simplePos="0" relativeHeight="251659264" behindDoc="1" locked="0" layoutInCell="1" allowOverlap="1" wp14:anchorId="498E74AC" wp14:editId="791EB7E2">
            <wp:simplePos x="0" y="0"/>
            <wp:positionH relativeFrom="column">
              <wp:posOffset>3648710</wp:posOffset>
            </wp:positionH>
            <wp:positionV relativeFrom="paragraph">
              <wp:posOffset>-11430</wp:posOffset>
            </wp:positionV>
            <wp:extent cx="2082800" cy="1388110"/>
            <wp:effectExtent l="0" t="0" r="0" b="2540"/>
            <wp:wrapTight wrapText="bothSides">
              <wp:wrapPolygon edited="0">
                <wp:start x="0" y="0"/>
                <wp:lineTo x="0" y="21343"/>
                <wp:lineTo x="21337" y="21343"/>
                <wp:lineTo x="21337" y="0"/>
                <wp:lineTo x="0" y="0"/>
              </wp:wrapPolygon>
            </wp:wrapTight>
            <wp:docPr id="1037" name="Grafik 1037" descr="C:\Users\WWEA\Desktop\WWEA\Veranstaltungen\Symposien\1. Fachsymposium\Fotos, Videos, Tonaufnahmen\Fotos Symposium 17\_MG_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WWEA\Desktop\WWEA\Veranstaltungen\Symposien\1. Fachsymposium\Fotos, Videos, Tonaufnahmen\Fotos Symposium 17\_MG_36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t>six countries. It was noted that w</w:t>
      </w:r>
      <w:r w:rsidRPr="00E0107C">
        <w:t xml:space="preserve">ithout the community level involvement in building the energy systems of the future, serious national climate change action will not be possible. Local governments have therefore a unique responsibility </w:t>
      </w:r>
      <w:r>
        <w:t>to</w:t>
      </w:r>
      <w:r w:rsidRPr="00E0107C">
        <w:t xml:space="preserve"> facilitat</w:t>
      </w:r>
      <w:r>
        <w:t>e</w:t>
      </w:r>
      <w:r w:rsidRPr="00E0107C">
        <w:t xml:space="preserve"> the energy revolution by providing communities with the frameworks and support in building local sustainable energy infrastructure. The participants identified regulatory/policy barriers</w:t>
      </w:r>
      <w:r>
        <w:t xml:space="preserve"> </w:t>
      </w:r>
      <w:r w:rsidRPr="00E0107C">
        <w:t>as well as financial and cultural barriers. In addition the exper</w:t>
      </w:r>
      <w:r>
        <w:t>t</w:t>
      </w:r>
      <w:r w:rsidRPr="00E0107C">
        <w:t>s have also found the lack of clarity of the definition to be a problem.</w:t>
      </w:r>
      <w:r>
        <w:rPr>
          <w:sz w:val="20"/>
        </w:rPr>
        <w:t xml:space="preserve"> </w:t>
      </w:r>
    </w:p>
    <w:p w:rsidR="006C430E" w:rsidRDefault="006C430E" w:rsidP="006C430E">
      <w:pPr>
        <w:keepNext/>
        <w:jc w:val="center"/>
      </w:pPr>
      <w:r>
        <w:rPr>
          <w:noProof/>
          <w:lang w:val="de-DE" w:eastAsia="de-DE"/>
        </w:rPr>
        <w:drawing>
          <wp:inline distT="0" distB="0" distL="0" distR="0" wp14:anchorId="4E14E790" wp14:editId="13045436">
            <wp:extent cx="5546348" cy="3957106"/>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0402" cy="3959999"/>
                    </a:xfrm>
                    <a:prstGeom prst="rect">
                      <a:avLst/>
                    </a:prstGeom>
                  </pic:spPr>
                </pic:pic>
              </a:graphicData>
            </a:graphic>
          </wp:inline>
        </w:drawing>
      </w:r>
    </w:p>
    <w:p w:rsidR="000B1967" w:rsidRPr="006C430E" w:rsidRDefault="006C430E" w:rsidP="006C430E">
      <w:pPr>
        <w:pStyle w:val="Beschriftung"/>
        <w:jc w:val="center"/>
        <w:rPr>
          <w:sz w:val="20"/>
        </w:rPr>
      </w:pPr>
      <w:bookmarkStart w:id="2" w:name="_Toc500514837"/>
      <w:bookmarkStart w:id="3" w:name="_Toc500515374"/>
      <w:bookmarkStart w:id="4" w:name="_Toc501632964"/>
      <w:r>
        <w:t xml:space="preserve">Figure </w:t>
      </w:r>
      <w:r>
        <w:fldChar w:fldCharType="begin"/>
      </w:r>
      <w:r>
        <w:instrText xml:space="preserve"> SEQ Figure \* ARABIC </w:instrText>
      </w:r>
      <w:r>
        <w:fldChar w:fldCharType="separate"/>
      </w:r>
      <w:r>
        <w:rPr>
          <w:noProof/>
        </w:rPr>
        <w:t>23</w:t>
      </w:r>
      <w:r>
        <w:rPr>
          <w:noProof/>
        </w:rPr>
        <w:fldChar w:fldCharType="end"/>
      </w:r>
      <w:r>
        <w:t xml:space="preserve">: </w:t>
      </w:r>
      <w:r w:rsidRPr="00377736">
        <w:t>Examples of different approaches to a definition of community energy</w:t>
      </w:r>
      <w:bookmarkEnd w:id="2"/>
      <w:bookmarkEnd w:id="3"/>
      <w:bookmarkEnd w:id="4"/>
    </w:p>
    <w:sectPr w:rsidR="000B1967" w:rsidRPr="006C43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E7" w:rsidRDefault="000E21E7" w:rsidP="00066D4B">
      <w:pPr>
        <w:spacing w:after="0" w:line="240" w:lineRule="auto"/>
      </w:pPr>
      <w:r>
        <w:separator/>
      </w:r>
    </w:p>
  </w:endnote>
  <w:endnote w:type="continuationSeparator" w:id="0">
    <w:p w:rsidR="000E21E7" w:rsidRDefault="000E21E7" w:rsidP="0006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4B" w:rsidRDefault="00066D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E7" w:rsidRDefault="000E21E7" w:rsidP="00066D4B">
      <w:pPr>
        <w:spacing w:after="0" w:line="240" w:lineRule="auto"/>
      </w:pPr>
      <w:r>
        <w:separator/>
      </w:r>
    </w:p>
  </w:footnote>
  <w:footnote w:type="continuationSeparator" w:id="0">
    <w:p w:rsidR="000E21E7" w:rsidRDefault="000E21E7" w:rsidP="0006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4B" w:rsidRDefault="00066D4B" w:rsidP="00066D4B">
    <w:pPr>
      <w:pStyle w:val="berschrift3"/>
      <w:jc w:val="center"/>
    </w:pPr>
    <w:r>
      <w:t>Summary 2</w:t>
    </w:r>
    <w:r w:rsidRPr="00066D4B">
      <w:rPr>
        <w:vertAlign w:val="superscript"/>
      </w:rPr>
      <w:t>nd</w:t>
    </w:r>
    <w:r>
      <w:t xml:space="preserve"> International Community Wind Symposium 2017</w:t>
    </w:r>
  </w:p>
  <w:p w:rsidR="00066D4B" w:rsidRDefault="00066D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5543"/>
    <w:multiLevelType w:val="multilevel"/>
    <w:tmpl w:val="4F7A7232"/>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4B"/>
    <w:rsid w:val="00066D4B"/>
    <w:rsid w:val="000B1967"/>
    <w:rsid w:val="000E21E7"/>
    <w:rsid w:val="006C430E"/>
    <w:rsid w:val="00965E0B"/>
    <w:rsid w:val="00EC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D4B"/>
    <w:pPr>
      <w:ind w:firstLine="227"/>
      <w:jc w:val="both"/>
    </w:pPr>
    <w:rPr>
      <w:rFonts w:ascii="Arial" w:hAnsi="Arial"/>
      <w:sz w:val="24"/>
    </w:rPr>
  </w:style>
  <w:style w:type="paragraph" w:styleId="berschrift3">
    <w:name w:val="heading 3"/>
    <w:basedOn w:val="Standard"/>
    <w:next w:val="Standard"/>
    <w:link w:val="berschrift3Zchn"/>
    <w:uiPriority w:val="9"/>
    <w:unhideWhenUsed/>
    <w:qFormat/>
    <w:rsid w:val="00066D4B"/>
    <w:pPr>
      <w:keepNext/>
      <w:keepLines/>
      <w:spacing w:before="200" w:after="120"/>
      <w:ind w:firstLine="0"/>
      <w:outlineLvl w:val="2"/>
    </w:pPr>
    <w:rPr>
      <w:rFonts w:eastAsiaTheme="majorEastAsia"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6D4B"/>
    <w:rPr>
      <w:rFonts w:ascii="Arial" w:eastAsiaTheme="majorEastAsia" w:hAnsi="Arial" w:cstheme="majorBidi"/>
      <w:b/>
      <w:bCs/>
      <w:color w:val="000000" w:themeColor="text1"/>
      <w:sz w:val="24"/>
    </w:rPr>
  </w:style>
  <w:style w:type="table" w:styleId="Tabellenraster">
    <w:name w:val="Table Grid"/>
    <w:basedOn w:val="NormaleTabelle"/>
    <w:uiPriority w:val="59"/>
    <w:rsid w:val="0006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6D4B"/>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066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D4B"/>
    <w:rPr>
      <w:rFonts w:ascii="Tahoma" w:hAnsi="Tahoma" w:cs="Tahoma"/>
      <w:sz w:val="16"/>
      <w:szCs w:val="16"/>
    </w:rPr>
  </w:style>
  <w:style w:type="paragraph" w:styleId="Kopfzeile">
    <w:name w:val="header"/>
    <w:basedOn w:val="Standard"/>
    <w:link w:val="KopfzeileZchn"/>
    <w:uiPriority w:val="99"/>
    <w:unhideWhenUsed/>
    <w:rsid w:val="00066D4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66D4B"/>
    <w:rPr>
      <w:rFonts w:ascii="Arial" w:hAnsi="Arial"/>
      <w:sz w:val="24"/>
    </w:rPr>
  </w:style>
  <w:style w:type="paragraph" w:styleId="Fuzeile">
    <w:name w:val="footer"/>
    <w:basedOn w:val="Standard"/>
    <w:link w:val="FuzeileZchn"/>
    <w:uiPriority w:val="99"/>
    <w:unhideWhenUsed/>
    <w:rsid w:val="00066D4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66D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D4B"/>
    <w:pPr>
      <w:ind w:firstLine="227"/>
      <w:jc w:val="both"/>
    </w:pPr>
    <w:rPr>
      <w:rFonts w:ascii="Arial" w:hAnsi="Arial"/>
      <w:sz w:val="24"/>
    </w:rPr>
  </w:style>
  <w:style w:type="paragraph" w:styleId="berschrift3">
    <w:name w:val="heading 3"/>
    <w:basedOn w:val="Standard"/>
    <w:next w:val="Standard"/>
    <w:link w:val="berschrift3Zchn"/>
    <w:uiPriority w:val="9"/>
    <w:unhideWhenUsed/>
    <w:qFormat/>
    <w:rsid w:val="00066D4B"/>
    <w:pPr>
      <w:keepNext/>
      <w:keepLines/>
      <w:spacing w:before="200" w:after="120"/>
      <w:ind w:firstLine="0"/>
      <w:outlineLvl w:val="2"/>
    </w:pPr>
    <w:rPr>
      <w:rFonts w:eastAsiaTheme="majorEastAsia"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6D4B"/>
    <w:rPr>
      <w:rFonts w:ascii="Arial" w:eastAsiaTheme="majorEastAsia" w:hAnsi="Arial" w:cstheme="majorBidi"/>
      <w:b/>
      <w:bCs/>
      <w:color w:val="000000" w:themeColor="text1"/>
      <w:sz w:val="24"/>
    </w:rPr>
  </w:style>
  <w:style w:type="table" w:styleId="Tabellenraster">
    <w:name w:val="Table Grid"/>
    <w:basedOn w:val="NormaleTabelle"/>
    <w:uiPriority w:val="59"/>
    <w:rsid w:val="0006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6D4B"/>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066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D4B"/>
    <w:rPr>
      <w:rFonts w:ascii="Tahoma" w:hAnsi="Tahoma" w:cs="Tahoma"/>
      <w:sz w:val="16"/>
      <w:szCs w:val="16"/>
    </w:rPr>
  </w:style>
  <w:style w:type="paragraph" w:styleId="Kopfzeile">
    <w:name w:val="header"/>
    <w:basedOn w:val="Standard"/>
    <w:link w:val="KopfzeileZchn"/>
    <w:uiPriority w:val="99"/>
    <w:unhideWhenUsed/>
    <w:rsid w:val="00066D4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66D4B"/>
    <w:rPr>
      <w:rFonts w:ascii="Arial" w:hAnsi="Arial"/>
      <w:sz w:val="24"/>
    </w:rPr>
  </w:style>
  <w:style w:type="paragraph" w:styleId="Fuzeile">
    <w:name w:val="footer"/>
    <w:basedOn w:val="Standard"/>
    <w:link w:val="FuzeileZchn"/>
    <w:uiPriority w:val="99"/>
    <w:unhideWhenUsed/>
    <w:rsid w:val="00066D4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66D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WWEA</dc:creator>
  <cp:lastModifiedBy>WWEA</cp:lastModifiedBy>
  <cp:revision>2</cp:revision>
  <cp:lastPrinted>2018-02-13T12:46:00Z</cp:lastPrinted>
  <dcterms:created xsi:type="dcterms:W3CDTF">2018-02-13T12:48:00Z</dcterms:created>
  <dcterms:modified xsi:type="dcterms:W3CDTF">2018-02-13T12:48:00Z</dcterms:modified>
</cp:coreProperties>
</file>